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D114E" w14:textId="73645B21" w:rsidR="005715A9" w:rsidRDefault="005715A9" w:rsidP="004D124E">
      <w:pPr>
        <w:jc w:val="center"/>
        <w:rPr>
          <w:rFonts w:ascii="Times New Roman" w:eastAsia="Calibri" w:hAnsi="Times New Roman"/>
          <w:b/>
          <w:bCs/>
          <w:szCs w:val="22"/>
        </w:rPr>
      </w:pPr>
      <w:r>
        <w:rPr>
          <w:rFonts w:ascii="Times New Roman" w:eastAsia="Calibri" w:hAnsi="Times New Roman"/>
          <w:b/>
          <w:bCs/>
          <w:szCs w:val="22"/>
        </w:rPr>
        <w:t>Notice of Adopted Ordinance</w:t>
      </w:r>
    </w:p>
    <w:p w14:paraId="30A4D46E" w14:textId="2C62BC43" w:rsidR="003F1C4A" w:rsidRPr="003F1C4A" w:rsidRDefault="009E728F" w:rsidP="004D124E">
      <w:pPr>
        <w:jc w:val="center"/>
        <w:rPr>
          <w:rFonts w:ascii="Times New Roman" w:eastAsia="Calibri" w:hAnsi="Times New Roman"/>
          <w:b/>
          <w:bCs/>
          <w:szCs w:val="22"/>
          <w:u w:val="single"/>
        </w:rPr>
      </w:pPr>
      <w:r w:rsidRPr="008D1522">
        <w:rPr>
          <w:rFonts w:ascii="Tahoma" w:hAnsi="Tahoma"/>
          <w:noProof/>
          <w:sz w:val="22"/>
          <w:szCs w:val="22"/>
        </w:rPr>
        <w:drawing>
          <wp:anchor distT="0" distB="0" distL="114300" distR="114300" simplePos="0" relativeHeight="251659264" behindDoc="1" locked="0" layoutInCell="0" allowOverlap="1" wp14:anchorId="1FD9C431" wp14:editId="4E533E27">
            <wp:simplePos x="0" y="0"/>
            <wp:positionH relativeFrom="column">
              <wp:posOffset>-548640</wp:posOffset>
            </wp:positionH>
            <wp:positionV relativeFrom="paragraph">
              <wp:posOffset>-502920</wp:posOffset>
            </wp:positionV>
            <wp:extent cx="1466850" cy="1645920"/>
            <wp:effectExtent l="0" t="0" r="0" b="0"/>
            <wp:wrapTight wrapText="bothSides">
              <wp:wrapPolygon edited="0">
                <wp:start x="0" y="0"/>
                <wp:lineTo x="0" y="21250"/>
                <wp:lineTo x="21319" y="21250"/>
                <wp:lineTo x="21319" y="0"/>
                <wp:lineTo x="0" y="0"/>
              </wp:wrapPolygon>
            </wp:wrapTight>
            <wp:docPr id="177243714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37143"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C4A" w:rsidRPr="003F1C4A">
        <w:rPr>
          <w:rFonts w:ascii="Times New Roman" w:eastAsia="Calibri" w:hAnsi="Times New Roman"/>
          <w:b/>
          <w:bCs/>
          <w:szCs w:val="22"/>
        </w:rPr>
        <w:t>ORDINANCE NO. 2025 –</w:t>
      </w:r>
      <w:r w:rsidR="004D124E" w:rsidRPr="004D124E">
        <w:rPr>
          <w:rFonts w:ascii="Times New Roman" w:eastAsia="Calibri" w:hAnsi="Times New Roman"/>
          <w:b/>
          <w:bCs/>
          <w:szCs w:val="22"/>
        </w:rPr>
        <w:t>144</w:t>
      </w:r>
      <w:r w:rsidR="003E446E">
        <w:rPr>
          <w:rFonts w:ascii="Times New Roman" w:eastAsia="Calibri" w:hAnsi="Times New Roman"/>
          <w:b/>
          <w:bCs/>
          <w:szCs w:val="22"/>
        </w:rPr>
        <w:t>8</w:t>
      </w:r>
    </w:p>
    <w:p w14:paraId="58BF946D" w14:textId="77777777" w:rsidR="003F1C4A" w:rsidRPr="003F1C4A" w:rsidRDefault="003F1C4A" w:rsidP="003F1C4A">
      <w:pPr>
        <w:rPr>
          <w:rFonts w:ascii="Times New Roman" w:eastAsia="Calibri" w:hAnsi="Times New Roman"/>
          <w:szCs w:val="22"/>
        </w:rPr>
      </w:pPr>
    </w:p>
    <w:p w14:paraId="48ADFCE1" w14:textId="77777777" w:rsidR="003F1C4A" w:rsidRPr="003F1C4A" w:rsidRDefault="003F1C4A" w:rsidP="004D124E">
      <w:pPr>
        <w:ind w:firstLine="1080"/>
        <w:jc w:val="center"/>
        <w:rPr>
          <w:rFonts w:ascii="Times New Roman" w:eastAsia="Calibri" w:hAnsi="Times New Roman"/>
          <w:b/>
          <w:bCs/>
          <w:szCs w:val="22"/>
        </w:rPr>
      </w:pPr>
      <w:r w:rsidRPr="003F1C4A">
        <w:rPr>
          <w:rFonts w:ascii="Times New Roman" w:eastAsia="Calibri" w:hAnsi="Times New Roman"/>
          <w:b/>
          <w:bCs/>
          <w:szCs w:val="22"/>
        </w:rPr>
        <w:t>An ordinance to amend Chapter 106, Article V, Section 106-455(a) of the Code of Ordinances to adjust sewage disposal rates.</w:t>
      </w:r>
    </w:p>
    <w:p w14:paraId="55CB1110" w14:textId="77777777" w:rsidR="003F1C4A" w:rsidRPr="003F1C4A" w:rsidRDefault="003F1C4A" w:rsidP="003F1C4A">
      <w:pPr>
        <w:ind w:firstLine="1080"/>
        <w:rPr>
          <w:rFonts w:ascii="Times New Roman" w:eastAsia="Calibri" w:hAnsi="Times New Roman"/>
          <w:sz w:val="23"/>
          <w:szCs w:val="23"/>
        </w:rPr>
      </w:pPr>
    </w:p>
    <w:p w14:paraId="6A5A7E08" w14:textId="77777777" w:rsidR="003F1C4A" w:rsidRPr="003F1C4A" w:rsidRDefault="003F1C4A" w:rsidP="003F1C4A">
      <w:pPr>
        <w:ind w:firstLine="1080"/>
        <w:rPr>
          <w:rFonts w:ascii="Times New Roman" w:eastAsia="Calibri" w:hAnsi="Times New Roman"/>
          <w:b/>
          <w:bCs/>
          <w:szCs w:val="22"/>
        </w:rPr>
      </w:pPr>
      <w:r w:rsidRPr="003F1C4A">
        <w:rPr>
          <w:rFonts w:ascii="Times New Roman" w:eastAsia="Calibri" w:hAnsi="Times New Roman"/>
          <w:b/>
          <w:bCs/>
          <w:szCs w:val="22"/>
        </w:rPr>
        <w:t>BE IT ORDAINED BY THE CITY OF YPSILANTI, that:</w:t>
      </w:r>
    </w:p>
    <w:p w14:paraId="5C741DA1" w14:textId="77777777" w:rsidR="003F1C4A" w:rsidRPr="003F1C4A" w:rsidRDefault="003F1C4A" w:rsidP="004D124E">
      <w:pPr>
        <w:jc w:val="both"/>
        <w:rPr>
          <w:rFonts w:ascii="Times New Roman" w:eastAsia="Calibri" w:hAnsi="Times New Roman"/>
          <w:szCs w:val="22"/>
        </w:rPr>
      </w:pPr>
      <w:r w:rsidRPr="003F1C4A">
        <w:rPr>
          <w:rFonts w:ascii="Times New Roman" w:eastAsia="Calibri" w:hAnsi="Times New Roman"/>
          <w:szCs w:val="22"/>
        </w:rPr>
        <w:t>Chapter 106, Article V, Section 106-455(a) of the Code of Ordinances shall be amended as follows:</w:t>
      </w:r>
    </w:p>
    <w:p w14:paraId="6DA181E7" w14:textId="77777777" w:rsidR="003F1C4A" w:rsidRPr="003F1C4A" w:rsidRDefault="003F1C4A" w:rsidP="003F1C4A">
      <w:pPr>
        <w:kinsoku w:val="0"/>
        <w:overflowPunct w:val="0"/>
        <w:autoSpaceDE w:val="0"/>
        <w:autoSpaceDN w:val="0"/>
        <w:adjustRightInd w:val="0"/>
        <w:ind w:firstLine="1080"/>
        <w:rPr>
          <w:rFonts w:ascii="Times New Roman" w:eastAsia="Calibri" w:hAnsi="Times New Roman"/>
          <w:sz w:val="20"/>
        </w:rPr>
      </w:pPr>
    </w:p>
    <w:p w14:paraId="680161A4" w14:textId="77777777" w:rsidR="003F1C4A" w:rsidRPr="003F1C4A" w:rsidRDefault="003F1C4A" w:rsidP="003F1C4A">
      <w:pPr>
        <w:tabs>
          <w:tab w:val="left" w:pos="1800"/>
        </w:tabs>
        <w:ind w:left="1080"/>
        <w:jc w:val="both"/>
        <w:rPr>
          <w:rFonts w:ascii="Times New Roman" w:eastAsia="Calibri" w:hAnsi="Times New Roman"/>
          <w:szCs w:val="22"/>
        </w:rPr>
      </w:pPr>
      <w:r w:rsidRPr="003F1C4A">
        <w:rPr>
          <w:rFonts w:ascii="Times New Roman" w:eastAsia="Calibri" w:hAnsi="Times New Roman"/>
          <w:szCs w:val="22"/>
        </w:rPr>
        <w:t>(a)</w:t>
      </w:r>
      <w:r w:rsidRPr="003F1C4A">
        <w:rPr>
          <w:rFonts w:ascii="Times New Roman" w:eastAsia="Calibri" w:hAnsi="Times New Roman"/>
          <w:szCs w:val="22"/>
        </w:rPr>
        <w:tab/>
        <w:t>For all billings rendered prior to September 1, 2025, existing sewage disposal rates shall prevail. For all billings rendered on or after September 1, 2025, sewage disposal rates shall be as follows for each bimonthly (two-month) period:</w:t>
      </w:r>
    </w:p>
    <w:p w14:paraId="180BD1FB" w14:textId="77777777" w:rsidR="003F1C4A" w:rsidRPr="003F1C4A" w:rsidRDefault="003F1C4A" w:rsidP="003F1C4A">
      <w:pPr>
        <w:ind w:firstLine="1080"/>
        <w:jc w:val="both"/>
        <w:rPr>
          <w:rFonts w:ascii="Times New Roman" w:eastAsia="Calibri" w:hAnsi="Times New Roman"/>
          <w:szCs w:val="22"/>
        </w:rPr>
      </w:pPr>
    </w:p>
    <w:p w14:paraId="18835843" w14:textId="77777777" w:rsidR="003F1C4A" w:rsidRPr="003F1C4A" w:rsidRDefault="003F1C4A" w:rsidP="003F1C4A">
      <w:pPr>
        <w:numPr>
          <w:ilvl w:val="0"/>
          <w:numId w:val="1"/>
        </w:numPr>
        <w:spacing w:after="160" w:line="259" w:lineRule="auto"/>
        <w:ind w:left="2520" w:hanging="720"/>
        <w:rPr>
          <w:rFonts w:ascii="Times New Roman" w:eastAsia="Calibri" w:hAnsi="Times New Roman"/>
          <w:szCs w:val="22"/>
        </w:rPr>
      </w:pPr>
      <w:r w:rsidRPr="003F1C4A">
        <w:rPr>
          <w:rFonts w:ascii="Times New Roman" w:eastAsia="Calibri" w:hAnsi="Times New Roman"/>
          <w:b/>
          <w:bCs/>
          <w:szCs w:val="22"/>
        </w:rPr>
        <w:t>Readiness-to-serve rates based on size of meter:</w:t>
      </w:r>
    </w:p>
    <w:tbl>
      <w:tblPr>
        <w:tblStyle w:val="TableGrid"/>
        <w:tblW w:w="0" w:type="auto"/>
        <w:tblInd w:w="2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1440"/>
      </w:tblGrid>
      <w:tr w:rsidR="003F1C4A" w:rsidRPr="003F1C4A" w14:paraId="53C1D104" w14:textId="77777777" w:rsidTr="00F1420E">
        <w:tc>
          <w:tcPr>
            <w:tcW w:w="3330" w:type="dxa"/>
          </w:tcPr>
          <w:p w14:paraId="2A07AFE3" w14:textId="77777777" w:rsidR="003F1C4A" w:rsidRPr="003F1C4A" w:rsidRDefault="003F1C4A" w:rsidP="003F1C4A">
            <w:pPr>
              <w:rPr>
                <w:rFonts w:ascii="Times New Roman" w:eastAsia="Calibri" w:hAnsi="Times New Roman"/>
                <w:szCs w:val="24"/>
              </w:rPr>
            </w:pPr>
            <w:r w:rsidRPr="003F1C4A">
              <w:rPr>
                <w:rFonts w:ascii="Times New Roman" w:eastAsia="Calibri" w:hAnsi="Times New Roman"/>
                <w:szCs w:val="24"/>
              </w:rPr>
              <w:t>Meter Size</w:t>
            </w:r>
          </w:p>
          <w:p w14:paraId="03F363AC" w14:textId="77777777" w:rsidR="003F1C4A" w:rsidRPr="003F1C4A" w:rsidRDefault="003F1C4A" w:rsidP="003F1C4A">
            <w:pPr>
              <w:spacing w:after="120"/>
              <w:rPr>
                <w:rFonts w:ascii="Times New Roman" w:eastAsia="Calibri" w:hAnsi="Times New Roman"/>
                <w:szCs w:val="22"/>
              </w:rPr>
            </w:pPr>
            <w:r w:rsidRPr="003F1C4A">
              <w:rPr>
                <w:rFonts w:ascii="Times New Roman" w:eastAsia="Calibri" w:hAnsi="Times New Roman"/>
                <w:szCs w:val="24"/>
              </w:rPr>
              <w:t>(inch)</w:t>
            </w:r>
          </w:p>
        </w:tc>
        <w:tc>
          <w:tcPr>
            <w:tcW w:w="1440" w:type="dxa"/>
          </w:tcPr>
          <w:p w14:paraId="2B43668C" w14:textId="77777777" w:rsidR="003F1C4A" w:rsidRPr="003F1C4A" w:rsidRDefault="003F1C4A" w:rsidP="003F1C4A">
            <w:pPr>
              <w:tabs>
                <w:tab w:val="left" w:pos="162"/>
                <w:tab w:val="left" w:pos="1247"/>
              </w:tabs>
              <w:spacing w:after="120"/>
              <w:jc w:val="center"/>
              <w:rPr>
                <w:rFonts w:ascii="Times New Roman" w:eastAsia="Calibri" w:hAnsi="Times New Roman"/>
                <w:szCs w:val="22"/>
              </w:rPr>
            </w:pPr>
            <w:r w:rsidRPr="003F1C4A">
              <w:rPr>
                <w:rFonts w:ascii="Times New Roman" w:eastAsia="Calibri" w:hAnsi="Times New Roman"/>
                <w:szCs w:val="24"/>
              </w:rPr>
              <w:t>Sewer Rate</w:t>
            </w:r>
          </w:p>
        </w:tc>
      </w:tr>
      <w:tr w:rsidR="003F1C4A" w:rsidRPr="003F1C4A" w14:paraId="2541913F" w14:textId="77777777" w:rsidTr="00F1420E">
        <w:tc>
          <w:tcPr>
            <w:tcW w:w="3330" w:type="dxa"/>
          </w:tcPr>
          <w:p w14:paraId="4D7C5D38" w14:textId="77777777" w:rsidR="003F1C4A" w:rsidRPr="003F1C4A" w:rsidRDefault="003F1C4A" w:rsidP="003F1C4A">
            <w:pPr>
              <w:rPr>
                <w:rFonts w:ascii="Times New Roman" w:eastAsia="Calibri" w:hAnsi="Times New Roman"/>
                <w:szCs w:val="22"/>
              </w:rPr>
            </w:pPr>
            <w:r w:rsidRPr="003F1C4A">
              <w:rPr>
                <w:rFonts w:ascii="Times New Roman" w:eastAsia="Calibri" w:hAnsi="Times New Roman"/>
                <w:szCs w:val="24"/>
              </w:rPr>
              <w:t>5/8-3/4</w:t>
            </w:r>
          </w:p>
        </w:tc>
        <w:tc>
          <w:tcPr>
            <w:tcW w:w="1440" w:type="dxa"/>
          </w:tcPr>
          <w:p w14:paraId="37111439" w14:textId="77777777" w:rsidR="003F1C4A" w:rsidRPr="003F1C4A" w:rsidRDefault="003F1C4A" w:rsidP="003F1C4A">
            <w:pPr>
              <w:jc w:val="right"/>
              <w:rPr>
                <w:rFonts w:ascii="Times New Roman" w:eastAsia="Calibri" w:hAnsi="Times New Roman"/>
                <w:szCs w:val="22"/>
              </w:rPr>
            </w:pPr>
            <w:r w:rsidRPr="003F1C4A">
              <w:rPr>
                <w:rFonts w:ascii="Times New Roman" w:eastAsia="Calibri" w:hAnsi="Times New Roman"/>
                <w:szCs w:val="24"/>
              </w:rPr>
              <w:t>$ 20.42</w:t>
            </w:r>
          </w:p>
        </w:tc>
      </w:tr>
      <w:tr w:rsidR="003F1C4A" w:rsidRPr="003F1C4A" w14:paraId="55D17746" w14:textId="77777777" w:rsidTr="00F1420E">
        <w:tc>
          <w:tcPr>
            <w:tcW w:w="3330" w:type="dxa"/>
          </w:tcPr>
          <w:p w14:paraId="5F6DDCC0" w14:textId="77777777" w:rsidR="003F1C4A" w:rsidRPr="003F1C4A" w:rsidRDefault="003F1C4A" w:rsidP="003F1C4A">
            <w:pPr>
              <w:rPr>
                <w:rFonts w:ascii="Times New Roman" w:eastAsia="Calibri" w:hAnsi="Times New Roman"/>
                <w:szCs w:val="22"/>
              </w:rPr>
            </w:pPr>
            <w:r w:rsidRPr="003F1C4A">
              <w:rPr>
                <w:rFonts w:ascii="Times New Roman" w:eastAsia="Calibri" w:hAnsi="Times New Roman"/>
                <w:szCs w:val="22"/>
              </w:rPr>
              <w:t>1</w:t>
            </w:r>
          </w:p>
        </w:tc>
        <w:tc>
          <w:tcPr>
            <w:tcW w:w="1440" w:type="dxa"/>
          </w:tcPr>
          <w:p w14:paraId="14BA9ACD" w14:textId="77777777" w:rsidR="003F1C4A" w:rsidRPr="003F1C4A" w:rsidRDefault="003F1C4A" w:rsidP="003F1C4A">
            <w:pPr>
              <w:jc w:val="right"/>
              <w:rPr>
                <w:rFonts w:ascii="Times New Roman" w:eastAsia="Calibri" w:hAnsi="Times New Roman"/>
                <w:szCs w:val="22"/>
              </w:rPr>
            </w:pPr>
            <w:r w:rsidRPr="003F1C4A">
              <w:rPr>
                <w:rFonts w:ascii="Times New Roman" w:eastAsia="Calibri" w:hAnsi="Times New Roman"/>
                <w:szCs w:val="24"/>
              </w:rPr>
              <w:t>$ 51.04</w:t>
            </w:r>
          </w:p>
        </w:tc>
      </w:tr>
      <w:tr w:rsidR="003F1C4A" w:rsidRPr="003F1C4A" w14:paraId="42B4CDE2" w14:textId="77777777" w:rsidTr="00F1420E">
        <w:tc>
          <w:tcPr>
            <w:tcW w:w="3330" w:type="dxa"/>
          </w:tcPr>
          <w:p w14:paraId="5FD9993C" w14:textId="77777777" w:rsidR="003F1C4A" w:rsidRPr="003F1C4A" w:rsidRDefault="003F1C4A" w:rsidP="003F1C4A">
            <w:pPr>
              <w:rPr>
                <w:rFonts w:ascii="Times New Roman" w:eastAsia="Calibri" w:hAnsi="Times New Roman"/>
                <w:szCs w:val="22"/>
              </w:rPr>
            </w:pPr>
            <w:r w:rsidRPr="003F1C4A">
              <w:rPr>
                <w:rFonts w:ascii="Times New Roman" w:eastAsia="Calibri" w:hAnsi="Times New Roman"/>
                <w:szCs w:val="22"/>
              </w:rPr>
              <w:t>1-1/2</w:t>
            </w:r>
          </w:p>
        </w:tc>
        <w:tc>
          <w:tcPr>
            <w:tcW w:w="1440" w:type="dxa"/>
          </w:tcPr>
          <w:p w14:paraId="39D886B6" w14:textId="77777777" w:rsidR="003F1C4A" w:rsidRPr="003F1C4A" w:rsidRDefault="003F1C4A" w:rsidP="003F1C4A">
            <w:pPr>
              <w:jc w:val="right"/>
              <w:rPr>
                <w:rFonts w:ascii="Times New Roman" w:eastAsia="Calibri" w:hAnsi="Times New Roman"/>
                <w:szCs w:val="22"/>
              </w:rPr>
            </w:pPr>
            <w:r w:rsidRPr="003F1C4A">
              <w:rPr>
                <w:rFonts w:ascii="Times New Roman" w:eastAsia="Calibri" w:hAnsi="Times New Roman"/>
                <w:szCs w:val="24"/>
              </w:rPr>
              <w:t>$ 102.07</w:t>
            </w:r>
          </w:p>
        </w:tc>
      </w:tr>
      <w:tr w:rsidR="003F1C4A" w:rsidRPr="003F1C4A" w14:paraId="1E3F592F" w14:textId="77777777" w:rsidTr="00F1420E">
        <w:tc>
          <w:tcPr>
            <w:tcW w:w="3330" w:type="dxa"/>
          </w:tcPr>
          <w:p w14:paraId="2D4B21CE" w14:textId="77777777" w:rsidR="003F1C4A" w:rsidRPr="003F1C4A" w:rsidRDefault="003F1C4A" w:rsidP="003F1C4A">
            <w:pPr>
              <w:rPr>
                <w:rFonts w:ascii="Times New Roman" w:eastAsia="Calibri" w:hAnsi="Times New Roman"/>
                <w:szCs w:val="22"/>
              </w:rPr>
            </w:pPr>
            <w:r w:rsidRPr="003F1C4A">
              <w:rPr>
                <w:rFonts w:ascii="Times New Roman" w:eastAsia="Calibri" w:hAnsi="Times New Roman"/>
                <w:szCs w:val="22"/>
              </w:rPr>
              <w:t>2</w:t>
            </w:r>
          </w:p>
        </w:tc>
        <w:tc>
          <w:tcPr>
            <w:tcW w:w="1440" w:type="dxa"/>
          </w:tcPr>
          <w:p w14:paraId="365CB959" w14:textId="77777777" w:rsidR="003F1C4A" w:rsidRPr="003F1C4A" w:rsidRDefault="003F1C4A" w:rsidP="003F1C4A">
            <w:pPr>
              <w:jc w:val="right"/>
              <w:rPr>
                <w:rFonts w:ascii="Times New Roman" w:eastAsia="Calibri" w:hAnsi="Times New Roman"/>
                <w:szCs w:val="22"/>
              </w:rPr>
            </w:pPr>
            <w:r w:rsidRPr="003F1C4A">
              <w:rPr>
                <w:rFonts w:ascii="Times New Roman" w:eastAsia="Calibri" w:hAnsi="Times New Roman"/>
                <w:szCs w:val="24"/>
              </w:rPr>
              <w:t>$ 163.31</w:t>
            </w:r>
          </w:p>
        </w:tc>
      </w:tr>
      <w:tr w:rsidR="003F1C4A" w:rsidRPr="003F1C4A" w14:paraId="58067517" w14:textId="77777777" w:rsidTr="00F1420E">
        <w:tc>
          <w:tcPr>
            <w:tcW w:w="3330" w:type="dxa"/>
          </w:tcPr>
          <w:p w14:paraId="7F4D2F58" w14:textId="77777777" w:rsidR="003F1C4A" w:rsidRPr="003F1C4A" w:rsidRDefault="003F1C4A" w:rsidP="003F1C4A">
            <w:pPr>
              <w:rPr>
                <w:rFonts w:ascii="Times New Roman" w:eastAsia="Calibri" w:hAnsi="Times New Roman"/>
                <w:szCs w:val="22"/>
              </w:rPr>
            </w:pPr>
            <w:r w:rsidRPr="003F1C4A">
              <w:rPr>
                <w:rFonts w:ascii="Times New Roman" w:eastAsia="Calibri" w:hAnsi="Times New Roman"/>
                <w:szCs w:val="22"/>
              </w:rPr>
              <w:t>3</w:t>
            </w:r>
          </w:p>
        </w:tc>
        <w:tc>
          <w:tcPr>
            <w:tcW w:w="1440" w:type="dxa"/>
          </w:tcPr>
          <w:p w14:paraId="4F1E49EA" w14:textId="77777777" w:rsidR="003F1C4A" w:rsidRPr="003F1C4A" w:rsidRDefault="003F1C4A" w:rsidP="003F1C4A">
            <w:pPr>
              <w:jc w:val="right"/>
              <w:rPr>
                <w:rFonts w:ascii="Times New Roman" w:eastAsia="Calibri" w:hAnsi="Times New Roman"/>
                <w:szCs w:val="22"/>
              </w:rPr>
            </w:pPr>
            <w:r w:rsidRPr="003F1C4A">
              <w:rPr>
                <w:rFonts w:ascii="Times New Roman" w:eastAsia="Calibri" w:hAnsi="Times New Roman"/>
                <w:szCs w:val="24"/>
              </w:rPr>
              <w:t>$ 510.38</w:t>
            </w:r>
          </w:p>
        </w:tc>
      </w:tr>
      <w:tr w:rsidR="003F1C4A" w:rsidRPr="003F1C4A" w14:paraId="5867E108" w14:textId="77777777" w:rsidTr="00F1420E">
        <w:tc>
          <w:tcPr>
            <w:tcW w:w="3330" w:type="dxa"/>
          </w:tcPr>
          <w:p w14:paraId="0AC6E074" w14:textId="77777777" w:rsidR="003F1C4A" w:rsidRPr="003F1C4A" w:rsidRDefault="003F1C4A" w:rsidP="003F1C4A">
            <w:pPr>
              <w:rPr>
                <w:rFonts w:ascii="Times New Roman" w:eastAsia="Calibri" w:hAnsi="Times New Roman"/>
                <w:szCs w:val="22"/>
              </w:rPr>
            </w:pPr>
            <w:r w:rsidRPr="003F1C4A">
              <w:rPr>
                <w:rFonts w:ascii="Times New Roman" w:eastAsia="Calibri" w:hAnsi="Times New Roman"/>
                <w:szCs w:val="22"/>
              </w:rPr>
              <w:t>4</w:t>
            </w:r>
          </w:p>
        </w:tc>
        <w:tc>
          <w:tcPr>
            <w:tcW w:w="1440" w:type="dxa"/>
          </w:tcPr>
          <w:p w14:paraId="0A9D879A" w14:textId="77777777" w:rsidR="003F1C4A" w:rsidRPr="003F1C4A" w:rsidRDefault="003F1C4A" w:rsidP="003F1C4A">
            <w:pPr>
              <w:jc w:val="right"/>
              <w:rPr>
                <w:rFonts w:ascii="Times New Roman" w:eastAsia="Calibri" w:hAnsi="Times New Roman"/>
                <w:szCs w:val="22"/>
              </w:rPr>
            </w:pPr>
            <w:r w:rsidRPr="003F1C4A">
              <w:rPr>
                <w:rFonts w:ascii="Times New Roman" w:eastAsia="Calibri" w:hAnsi="Times New Roman"/>
                <w:szCs w:val="24"/>
              </w:rPr>
              <w:t>$ 1,020.74</w:t>
            </w:r>
          </w:p>
        </w:tc>
      </w:tr>
      <w:tr w:rsidR="003F1C4A" w:rsidRPr="003F1C4A" w14:paraId="2EBDCF40" w14:textId="77777777" w:rsidTr="00F1420E">
        <w:tc>
          <w:tcPr>
            <w:tcW w:w="3330" w:type="dxa"/>
          </w:tcPr>
          <w:p w14:paraId="2430D1B1" w14:textId="77777777" w:rsidR="003F1C4A" w:rsidRPr="003F1C4A" w:rsidRDefault="003F1C4A" w:rsidP="003F1C4A">
            <w:pPr>
              <w:rPr>
                <w:rFonts w:ascii="Times New Roman" w:eastAsia="Calibri" w:hAnsi="Times New Roman"/>
                <w:szCs w:val="22"/>
              </w:rPr>
            </w:pPr>
            <w:r w:rsidRPr="003F1C4A">
              <w:rPr>
                <w:rFonts w:ascii="Times New Roman" w:eastAsia="Calibri" w:hAnsi="Times New Roman"/>
                <w:szCs w:val="22"/>
              </w:rPr>
              <w:t>6</w:t>
            </w:r>
          </w:p>
        </w:tc>
        <w:tc>
          <w:tcPr>
            <w:tcW w:w="1440" w:type="dxa"/>
          </w:tcPr>
          <w:p w14:paraId="7FE92859" w14:textId="77777777" w:rsidR="003F1C4A" w:rsidRPr="003F1C4A" w:rsidRDefault="003F1C4A" w:rsidP="003F1C4A">
            <w:pPr>
              <w:jc w:val="right"/>
              <w:rPr>
                <w:rFonts w:ascii="Times New Roman" w:eastAsia="Calibri" w:hAnsi="Times New Roman"/>
                <w:szCs w:val="22"/>
              </w:rPr>
            </w:pPr>
            <w:r w:rsidRPr="003F1C4A">
              <w:rPr>
                <w:rFonts w:ascii="Times New Roman" w:eastAsia="Calibri" w:hAnsi="Times New Roman"/>
                <w:szCs w:val="22"/>
              </w:rPr>
              <w:t>$ 2,041.49</w:t>
            </w:r>
          </w:p>
        </w:tc>
      </w:tr>
      <w:tr w:rsidR="003F1C4A" w:rsidRPr="003F1C4A" w14:paraId="3A1F1CCE" w14:textId="77777777" w:rsidTr="00F1420E">
        <w:tc>
          <w:tcPr>
            <w:tcW w:w="3330" w:type="dxa"/>
          </w:tcPr>
          <w:p w14:paraId="42C499E6" w14:textId="77777777" w:rsidR="003F1C4A" w:rsidRPr="003F1C4A" w:rsidRDefault="003F1C4A" w:rsidP="003F1C4A">
            <w:pPr>
              <w:rPr>
                <w:rFonts w:ascii="Times New Roman" w:eastAsia="Calibri" w:hAnsi="Times New Roman"/>
                <w:szCs w:val="22"/>
              </w:rPr>
            </w:pPr>
            <w:r w:rsidRPr="003F1C4A">
              <w:rPr>
                <w:rFonts w:ascii="Times New Roman" w:eastAsia="Calibri" w:hAnsi="Times New Roman"/>
                <w:szCs w:val="22"/>
              </w:rPr>
              <w:t>8</w:t>
            </w:r>
          </w:p>
        </w:tc>
        <w:tc>
          <w:tcPr>
            <w:tcW w:w="1440" w:type="dxa"/>
          </w:tcPr>
          <w:p w14:paraId="0B50E99F" w14:textId="77777777" w:rsidR="003F1C4A" w:rsidRPr="003F1C4A" w:rsidRDefault="003F1C4A" w:rsidP="003F1C4A">
            <w:pPr>
              <w:jc w:val="right"/>
              <w:rPr>
                <w:rFonts w:ascii="Times New Roman" w:eastAsia="Calibri" w:hAnsi="Times New Roman"/>
                <w:szCs w:val="22"/>
              </w:rPr>
            </w:pPr>
            <w:r w:rsidRPr="003F1C4A">
              <w:rPr>
                <w:rFonts w:ascii="Times New Roman" w:eastAsia="Calibri" w:hAnsi="Times New Roman"/>
                <w:szCs w:val="24"/>
              </w:rPr>
              <w:t xml:space="preserve">$ </w:t>
            </w:r>
            <w:r w:rsidRPr="003F1C4A">
              <w:rPr>
                <w:rFonts w:ascii="Times New Roman" w:eastAsia="Calibri" w:hAnsi="Times New Roman"/>
                <w:szCs w:val="22"/>
              </w:rPr>
              <w:t>3,572.61</w:t>
            </w:r>
          </w:p>
        </w:tc>
      </w:tr>
      <w:tr w:rsidR="003F1C4A" w:rsidRPr="003F1C4A" w14:paraId="7E373705" w14:textId="77777777" w:rsidTr="00F1420E">
        <w:tc>
          <w:tcPr>
            <w:tcW w:w="3330" w:type="dxa"/>
          </w:tcPr>
          <w:p w14:paraId="56A0CC79" w14:textId="77777777" w:rsidR="003F1C4A" w:rsidRPr="003F1C4A" w:rsidRDefault="003F1C4A" w:rsidP="003F1C4A">
            <w:pPr>
              <w:rPr>
                <w:rFonts w:ascii="Times New Roman" w:eastAsia="Calibri" w:hAnsi="Times New Roman"/>
                <w:szCs w:val="22"/>
              </w:rPr>
            </w:pPr>
            <w:r w:rsidRPr="003F1C4A">
              <w:rPr>
                <w:rFonts w:ascii="Times New Roman" w:eastAsia="Calibri" w:hAnsi="Times New Roman"/>
                <w:szCs w:val="22"/>
              </w:rPr>
              <w:t>10</w:t>
            </w:r>
          </w:p>
        </w:tc>
        <w:tc>
          <w:tcPr>
            <w:tcW w:w="1440" w:type="dxa"/>
          </w:tcPr>
          <w:p w14:paraId="71D11C4A" w14:textId="77777777" w:rsidR="003F1C4A" w:rsidRPr="003F1C4A" w:rsidRDefault="003F1C4A" w:rsidP="003F1C4A">
            <w:pPr>
              <w:jc w:val="right"/>
              <w:rPr>
                <w:rFonts w:ascii="Times New Roman" w:eastAsia="Calibri" w:hAnsi="Times New Roman"/>
                <w:szCs w:val="22"/>
              </w:rPr>
            </w:pPr>
            <w:r w:rsidRPr="003F1C4A">
              <w:rPr>
                <w:rFonts w:ascii="Times New Roman" w:eastAsia="Calibri" w:hAnsi="Times New Roman"/>
                <w:szCs w:val="24"/>
              </w:rPr>
              <w:t>$ 5,614.09</w:t>
            </w:r>
          </w:p>
        </w:tc>
      </w:tr>
      <w:tr w:rsidR="003F1C4A" w:rsidRPr="003F1C4A" w14:paraId="165DFE0A" w14:textId="77777777" w:rsidTr="00F1420E">
        <w:tc>
          <w:tcPr>
            <w:tcW w:w="3330" w:type="dxa"/>
          </w:tcPr>
          <w:p w14:paraId="2746A9A3" w14:textId="77777777" w:rsidR="003F1C4A" w:rsidRPr="003F1C4A" w:rsidRDefault="003F1C4A" w:rsidP="003F1C4A">
            <w:pPr>
              <w:rPr>
                <w:rFonts w:ascii="Times New Roman" w:eastAsia="Calibri" w:hAnsi="Times New Roman"/>
                <w:szCs w:val="22"/>
              </w:rPr>
            </w:pPr>
            <w:r w:rsidRPr="003F1C4A">
              <w:rPr>
                <w:rFonts w:ascii="Times New Roman" w:eastAsia="Calibri" w:hAnsi="Times New Roman"/>
                <w:szCs w:val="22"/>
              </w:rPr>
              <w:t>12</w:t>
            </w:r>
          </w:p>
        </w:tc>
        <w:tc>
          <w:tcPr>
            <w:tcW w:w="1440" w:type="dxa"/>
          </w:tcPr>
          <w:p w14:paraId="5CE69E91" w14:textId="77777777" w:rsidR="003F1C4A" w:rsidRPr="003F1C4A" w:rsidRDefault="003F1C4A" w:rsidP="003F1C4A">
            <w:pPr>
              <w:jc w:val="right"/>
              <w:rPr>
                <w:rFonts w:ascii="Times New Roman" w:eastAsia="Calibri" w:hAnsi="Times New Roman"/>
                <w:szCs w:val="22"/>
              </w:rPr>
            </w:pPr>
            <w:r w:rsidRPr="003F1C4A">
              <w:rPr>
                <w:rFonts w:ascii="Times New Roman" w:eastAsia="Calibri" w:hAnsi="Times New Roman"/>
                <w:szCs w:val="24"/>
              </w:rPr>
              <w:t>$ 6,634.84</w:t>
            </w:r>
          </w:p>
        </w:tc>
      </w:tr>
    </w:tbl>
    <w:p w14:paraId="2EE7858C" w14:textId="77777777" w:rsidR="003F1C4A" w:rsidRPr="003F1C4A" w:rsidRDefault="003F1C4A" w:rsidP="003F1C4A">
      <w:pPr>
        <w:rPr>
          <w:rFonts w:ascii="Times New Roman" w:eastAsia="Calibri" w:hAnsi="Times New Roman"/>
          <w:szCs w:val="22"/>
        </w:rPr>
      </w:pPr>
    </w:p>
    <w:p w14:paraId="7788F9B5" w14:textId="77777777" w:rsidR="003F1C4A" w:rsidRPr="003F1C4A" w:rsidRDefault="003F1C4A" w:rsidP="003F1C4A">
      <w:pPr>
        <w:numPr>
          <w:ilvl w:val="0"/>
          <w:numId w:val="1"/>
        </w:numPr>
        <w:kinsoku w:val="0"/>
        <w:overflowPunct w:val="0"/>
        <w:autoSpaceDE w:val="0"/>
        <w:autoSpaceDN w:val="0"/>
        <w:adjustRightInd w:val="0"/>
        <w:spacing w:after="160" w:line="259" w:lineRule="auto"/>
        <w:ind w:left="2520" w:hanging="720"/>
        <w:contextualSpacing/>
        <w:rPr>
          <w:rFonts w:ascii="Times New Roman" w:eastAsia="Calibri" w:hAnsi="Times New Roman"/>
          <w:szCs w:val="24"/>
        </w:rPr>
      </w:pPr>
      <w:r w:rsidRPr="003F1C4A">
        <w:rPr>
          <w:rFonts w:ascii="Times New Roman" w:eastAsia="Calibri" w:hAnsi="Times New Roman"/>
          <w:b/>
          <w:bCs/>
          <w:szCs w:val="24"/>
        </w:rPr>
        <w:t xml:space="preserve">Commodity rate: </w:t>
      </w:r>
      <w:r w:rsidRPr="003F1C4A">
        <w:rPr>
          <w:rFonts w:ascii="Times New Roman" w:eastAsia="Calibri" w:hAnsi="Times New Roman"/>
          <w:b/>
          <w:bCs/>
          <w:szCs w:val="24"/>
        </w:rPr>
        <w:tab/>
      </w:r>
      <w:r w:rsidRPr="003F1C4A">
        <w:rPr>
          <w:rFonts w:ascii="Times New Roman" w:eastAsia="Calibri" w:hAnsi="Times New Roman"/>
          <w:szCs w:val="24"/>
        </w:rPr>
        <w:t>$3.65 per 100 cubic feet</w:t>
      </w:r>
    </w:p>
    <w:p w14:paraId="5CE07ACF" w14:textId="77777777" w:rsidR="003F1C4A" w:rsidRPr="003F1C4A" w:rsidRDefault="003F1C4A" w:rsidP="003F1C4A">
      <w:pPr>
        <w:kinsoku w:val="0"/>
        <w:overflowPunct w:val="0"/>
        <w:autoSpaceDE w:val="0"/>
        <w:autoSpaceDN w:val="0"/>
        <w:adjustRightInd w:val="0"/>
        <w:ind w:left="100"/>
        <w:rPr>
          <w:rFonts w:ascii="Times New Roman" w:eastAsia="Calibri" w:hAnsi="Times New Roman"/>
          <w:szCs w:val="24"/>
        </w:rPr>
      </w:pPr>
    </w:p>
    <w:p w14:paraId="29645E91" w14:textId="77777777" w:rsidR="003F1C4A" w:rsidRPr="003F1C4A" w:rsidRDefault="003F1C4A" w:rsidP="003F1C4A">
      <w:pPr>
        <w:kinsoku w:val="0"/>
        <w:overflowPunct w:val="0"/>
        <w:autoSpaceDE w:val="0"/>
        <w:autoSpaceDN w:val="0"/>
        <w:adjustRightInd w:val="0"/>
        <w:rPr>
          <w:rFonts w:ascii="Times New Roman" w:eastAsia="Calibri" w:hAnsi="Times New Roman"/>
          <w:sz w:val="20"/>
        </w:rPr>
      </w:pPr>
    </w:p>
    <w:p w14:paraId="1EDE089E" w14:textId="64D8C985" w:rsidR="003F1C4A" w:rsidRPr="00472829" w:rsidRDefault="003F1C4A" w:rsidP="00472829">
      <w:pPr>
        <w:jc w:val="both"/>
        <w:rPr>
          <w:rFonts w:ascii="Times New Roman" w:hAnsi="Times New Roman"/>
          <w:szCs w:val="24"/>
        </w:rPr>
      </w:pPr>
      <w:r w:rsidRPr="003F1C4A">
        <w:rPr>
          <w:rFonts w:ascii="Times New Roman" w:hAnsi="Times New Roman"/>
          <w:szCs w:val="24"/>
        </w:rPr>
        <w:tab/>
        <w:t>This Ordinance shall take effect and be in full force upon publication in the</w:t>
      </w:r>
      <w:r w:rsidR="004D124E">
        <w:rPr>
          <w:rFonts w:ascii="Times New Roman" w:hAnsi="Times New Roman"/>
          <w:szCs w:val="24"/>
        </w:rPr>
        <w:t xml:space="preserve"> Washtenaw Legal News.</w:t>
      </w:r>
      <w:r w:rsidRPr="003F1C4A">
        <w:rPr>
          <w:rFonts w:ascii="Times New Roman" w:hAnsi="Times New Roman"/>
          <w:szCs w:val="24"/>
        </w:rPr>
        <w:t xml:space="preserve"> </w:t>
      </w:r>
    </w:p>
    <w:p w14:paraId="46FD5ADB" w14:textId="77777777" w:rsidR="003F1C4A" w:rsidRPr="003F1C4A" w:rsidRDefault="003F1C4A" w:rsidP="003F1C4A">
      <w:pPr>
        <w:tabs>
          <w:tab w:val="left" w:pos="4320"/>
          <w:tab w:val="right" w:pos="8370"/>
        </w:tabs>
        <w:spacing w:line="259" w:lineRule="auto"/>
        <w:jc w:val="both"/>
        <w:rPr>
          <w:rFonts w:ascii="Times New Roman" w:eastAsia="Calibri" w:hAnsi="Times New Roman"/>
          <w:szCs w:val="22"/>
        </w:rPr>
      </w:pPr>
      <w:r w:rsidRPr="003F1C4A">
        <w:rPr>
          <w:rFonts w:ascii="Times New Roman" w:eastAsia="Calibri" w:hAnsi="Times New Roman"/>
          <w:szCs w:val="22"/>
        </w:rPr>
        <w:tab/>
      </w:r>
      <w:r w:rsidRPr="009379EC">
        <w:rPr>
          <w:rFonts w:ascii="Times New Roman" w:eastAsia="Calibri" w:hAnsi="Times New Roman"/>
          <w:szCs w:val="22"/>
          <w:highlight w:val="yellow"/>
        </w:rPr>
        <w:t>__________________________________</w:t>
      </w:r>
    </w:p>
    <w:p w14:paraId="00936C03" w14:textId="77777777" w:rsidR="003F1C4A" w:rsidRPr="003F1C4A" w:rsidRDefault="003F1C4A" w:rsidP="003F1C4A">
      <w:pPr>
        <w:tabs>
          <w:tab w:val="left" w:pos="4320"/>
        </w:tabs>
        <w:spacing w:line="259" w:lineRule="auto"/>
        <w:jc w:val="both"/>
        <w:rPr>
          <w:rFonts w:ascii="Times New Roman" w:eastAsia="Calibri" w:hAnsi="Times New Roman"/>
          <w:szCs w:val="22"/>
        </w:rPr>
      </w:pPr>
      <w:r w:rsidRPr="003F1C4A">
        <w:rPr>
          <w:rFonts w:ascii="Times New Roman" w:eastAsia="Calibri" w:hAnsi="Times New Roman"/>
          <w:szCs w:val="22"/>
        </w:rPr>
        <w:tab/>
        <w:t>Nicole Brown, Mayor</w:t>
      </w:r>
    </w:p>
    <w:p w14:paraId="4239D8A4" w14:textId="77777777" w:rsidR="003F1C4A" w:rsidRPr="003F1C4A" w:rsidRDefault="003F1C4A" w:rsidP="003F1C4A">
      <w:pPr>
        <w:spacing w:line="259" w:lineRule="auto"/>
        <w:jc w:val="both"/>
        <w:rPr>
          <w:rFonts w:ascii="Times New Roman" w:eastAsia="Calibri" w:hAnsi="Times New Roman"/>
          <w:szCs w:val="22"/>
        </w:rPr>
      </w:pPr>
    </w:p>
    <w:p w14:paraId="4038E1A2" w14:textId="77777777" w:rsidR="003F1C4A" w:rsidRPr="003F1C4A" w:rsidRDefault="003F1C4A" w:rsidP="003F1C4A">
      <w:pPr>
        <w:tabs>
          <w:tab w:val="left" w:pos="4320"/>
          <w:tab w:val="right" w:pos="8370"/>
        </w:tabs>
        <w:spacing w:line="259" w:lineRule="auto"/>
        <w:jc w:val="both"/>
        <w:rPr>
          <w:rFonts w:ascii="Times New Roman" w:eastAsia="Calibri" w:hAnsi="Times New Roman"/>
          <w:szCs w:val="22"/>
        </w:rPr>
      </w:pPr>
      <w:r w:rsidRPr="003F1C4A">
        <w:rPr>
          <w:rFonts w:ascii="Times New Roman" w:eastAsia="Calibri" w:hAnsi="Times New Roman"/>
          <w:szCs w:val="22"/>
        </w:rPr>
        <w:tab/>
      </w:r>
      <w:r w:rsidRPr="009379EC">
        <w:rPr>
          <w:rFonts w:ascii="Times New Roman" w:eastAsia="Calibri" w:hAnsi="Times New Roman"/>
          <w:szCs w:val="22"/>
          <w:highlight w:val="yellow"/>
        </w:rPr>
        <w:t>__________________________________</w:t>
      </w:r>
    </w:p>
    <w:p w14:paraId="2A223DDA" w14:textId="2BF15864" w:rsidR="000A7EDD" w:rsidRDefault="003F1C4A" w:rsidP="00472829">
      <w:pPr>
        <w:tabs>
          <w:tab w:val="left" w:pos="4320"/>
        </w:tabs>
        <w:spacing w:line="259" w:lineRule="auto"/>
        <w:jc w:val="both"/>
        <w:rPr>
          <w:rFonts w:ascii="Times New Roman" w:eastAsia="Calibri" w:hAnsi="Times New Roman"/>
          <w:szCs w:val="22"/>
        </w:rPr>
      </w:pPr>
      <w:r w:rsidRPr="003F1C4A">
        <w:rPr>
          <w:rFonts w:ascii="Times New Roman" w:eastAsia="Calibri" w:hAnsi="Times New Roman"/>
          <w:szCs w:val="22"/>
        </w:rPr>
        <w:tab/>
        <w:t>Tracey Boudreau, City Clerk</w:t>
      </w:r>
    </w:p>
    <w:p w14:paraId="084B866B" w14:textId="77777777" w:rsidR="00472829" w:rsidRDefault="00472829" w:rsidP="00472829">
      <w:pPr>
        <w:tabs>
          <w:tab w:val="left" w:pos="4320"/>
        </w:tabs>
        <w:spacing w:line="259" w:lineRule="auto"/>
        <w:jc w:val="both"/>
        <w:rPr>
          <w:rFonts w:ascii="Times New Roman" w:eastAsia="Calibri" w:hAnsi="Times New Roman"/>
          <w:szCs w:val="22"/>
        </w:rPr>
      </w:pPr>
    </w:p>
    <w:p w14:paraId="7EABA14B" w14:textId="77777777" w:rsidR="000A7EDD" w:rsidRPr="003F1C4A" w:rsidRDefault="000A7EDD" w:rsidP="000A7EDD">
      <w:pPr>
        <w:spacing w:line="259" w:lineRule="auto"/>
        <w:jc w:val="center"/>
        <w:rPr>
          <w:rFonts w:ascii="Times New Roman" w:eastAsia="Calibri" w:hAnsi="Times New Roman"/>
          <w:b/>
          <w:szCs w:val="22"/>
        </w:rPr>
      </w:pPr>
      <w:r>
        <w:rPr>
          <w:rFonts w:ascii="Times New Roman" w:eastAsia="Calibri" w:hAnsi="Times New Roman"/>
          <w:b/>
          <w:szCs w:val="22"/>
          <w:u w:val="single"/>
        </w:rPr>
        <w:t>CERTIFICATE OF ADOPTING</w:t>
      </w:r>
    </w:p>
    <w:p w14:paraId="1957B6EE" w14:textId="43650AED" w:rsidR="000A7EDD" w:rsidRDefault="000A7EDD" w:rsidP="000A7EDD">
      <w:pPr>
        <w:spacing w:line="259" w:lineRule="auto"/>
        <w:ind w:firstLine="720"/>
        <w:jc w:val="both"/>
        <w:rPr>
          <w:rFonts w:ascii="Times New Roman" w:eastAsia="Calibri" w:hAnsi="Times New Roman"/>
          <w:szCs w:val="22"/>
        </w:rPr>
      </w:pPr>
      <w:r w:rsidRPr="009379EC">
        <w:rPr>
          <w:rFonts w:ascii="Times New Roman" w:eastAsia="Calibri" w:hAnsi="Times New Roman"/>
          <w:szCs w:val="22"/>
        </w:rPr>
        <w:t xml:space="preserve">I hereby certify that the foregoing is a true copy of the Ordinance passed at the regular meeting of the City Council held on the </w:t>
      </w:r>
      <w:r>
        <w:rPr>
          <w:rFonts w:ascii="Times New Roman" w:eastAsia="Calibri" w:hAnsi="Times New Roman"/>
          <w:szCs w:val="22"/>
        </w:rPr>
        <w:softHyphen/>
      </w:r>
      <w:r>
        <w:rPr>
          <w:rFonts w:ascii="Times New Roman" w:eastAsia="Calibri" w:hAnsi="Times New Roman"/>
          <w:szCs w:val="22"/>
        </w:rPr>
        <w:softHyphen/>
      </w:r>
      <w:r>
        <w:rPr>
          <w:rFonts w:ascii="Times New Roman" w:eastAsia="Calibri" w:hAnsi="Times New Roman"/>
          <w:szCs w:val="22"/>
        </w:rPr>
        <w:softHyphen/>
      </w:r>
      <w:r>
        <w:rPr>
          <w:rFonts w:ascii="Times New Roman" w:eastAsia="Calibri" w:hAnsi="Times New Roman"/>
          <w:szCs w:val="22"/>
        </w:rPr>
        <w:softHyphen/>
      </w:r>
      <w:r w:rsidR="008F1A5C">
        <w:rPr>
          <w:rFonts w:ascii="Times New Roman" w:eastAsia="Calibri" w:hAnsi="Times New Roman"/>
          <w:szCs w:val="22"/>
        </w:rPr>
        <w:t>15</w:t>
      </w:r>
      <w:r w:rsidR="008F1A5C" w:rsidRPr="008F1A5C">
        <w:rPr>
          <w:rFonts w:ascii="Times New Roman" w:eastAsia="Calibri" w:hAnsi="Times New Roman"/>
          <w:szCs w:val="22"/>
          <w:vertAlign w:val="superscript"/>
        </w:rPr>
        <w:t>th</w:t>
      </w:r>
      <w:r w:rsidR="008F1A5C">
        <w:rPr>
          <w:rFonts w:ascii="Times New Roman" w:eastAsia="Calibri" w:hAnsi="Times New Roman"/>
          <w:szCs w:val="22"/>
        </w:rPr>
        <w:t xml:space="preserve"> day of July, 2025. </w:t>
      </w:r>
    </w:p>
    <w:p w14:paraId="55118587" w14:textId="77777777" w:rsidR="000A7EDD" w:rsidRPr="009379EC" w:rsidRDefault="000A7EDD" w:rsidP="000A7EDD">
      <w:pPr>
        <w:spacing w:line="259" w:lineRule="auto"/>
        <w:ind w:firstLine="720"/>
        <w:jc w:val="both"/>
        <w:rPr>
          <w:rFonts w:ascii="Times New Roman" w:eastAsia="Calibri" w:hAnsi="Times New Roman"/>
          <w:szCs w:val="22"/>
        </w:rPr>
      </w:pPr>
    </w:p>
    <w:p w14:paraId="1C3C674F" w14:textId="77777777" w:rsidR="000A7EDD" w:rsidRPr="003F1C4A" w:rsidRDefault="000A7EDD" w:rsidP="000A7EDD">
      <w:pPr>
        <w:tabs>
          <w:tab w:val="left" w:pos="4320"/>
          <w:tab w:val="right" w:pos="8370"/>
        </w:tabs>
        <w:spacing w:line="259" w:lineRule="auto"/>
        <w:jc w:val="both"/>
        <w:rPr>
          <w:rFonts w:ascii="Times New Roman" w:eastAsia="Calibri" w:hAnsi="Times New Roman"/>
          <w:szCs w:val="22"/>
        </w:rPr>
      </w:pPr>
      <w:r w:rsidRPr="00C00B12">
        <w:rPr>
          <w:rFonts w:ascii="Times New Roman" w:eastAsia="Calibri" w:hAnsi="Times New Roman"/>
          <w:szCs w:val="22"/>
        </w:rPr>
        <w:tab/>
      </w:r>
      <w:r>
        <w:rPr>
          <w:rFonts w:ascii="Times New Roman" w:eastAsia="Calibri" w:hAnsi="Times New Roman"/>
          <w:szCs w:val="22"/>
        </w:rPr>
        <w:tab/>
      </w:r>
      <w:r w:rsidRPr="009379EC">
        <w:rPr>
          <w:rFonts w:ascii="Times New Roman" w:eastAsia="Calibri" w:hAnsi="Times New Roman"/>
          <w:szCs w:val="22"/>
          <w:highlight w:val="yellow"/>
        </w:rPr>
        <w:t>__________________________________</w:t>
      </w:r>
    </w:p>
    <w:p w14:paraId="5E9677C5" w14:textId="54706DF1" w:rsidR="009379EC" w:rsidRPr="009379EC" w:rsidRDefault="000A7EDD" w:rsidP="00472829">
      <w:pPr>
        <w:tabs>
          <w:tab w:val="left" w:pos="4320"/>
        </w:tabs>
        <w:spacing w:line="259" w:lineRule="auto"/>
        <w:jc w:val="both"/>
        <w:rPr>
          <w:rFonts w:ascii="Times New Roman" w:eastAsia="Calibri" w:hAnsi="Times New Roman"/>
          <w:szCs w:val="22"/>
        </w:rPr>
      </w:pPr>
      <w:r w:rsidRPr="003F1C4A">
        <w:rPr>
          <w:rFonts w:ascii="Times New Roman" w:eastAsia="Calibri" w:hAnsi="Times New Roman"/>
          <w:szCs w:val="22"/>
        </w:rPr>
        <w:tab/>
      </w:r>
      <w:r>
        <w:rPr>
          <w:rFonts w:ascii="Times New Roman" w:eastAsia="Calibri" w:hAnsi="Times New Roman"/>
          <w:szCs w:val="22"/>
        </w:rPr>
        <w:tab/>
      </w:r>
      <w:r w:rsidRPr="003F1C4A">
        <w:rPr>
          <w:rFonts w:ascii="Times New Roman" w:eastAsia="Calibri" w:hAnsi="Times New Roman"/>
          <w:szCs w:val="22"/>
        </w:rPr>
        <w:t>Tracey Boudreau, City Clerk</w:t>
      </w:r>
    </w:p>
    <w:sectPr w:rsidR="009379EC" w:rsidRPr="00937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27643"/>
    <w:multiLevelType w:val="hybridMultilevel"/>
    <w:tmpl w:val="1156780A"/>
    <w:lvl w:ilvl="0" w:tplc="F816123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72538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8F"/>
    <w:rsid w:val="0004796B"/>
    <w:rsid w:val="000A7EDD"/>
    <w:rsid w:val="0010493A"/>
    <w:rsid w:val="001534D2"/>
    <w:rsid w:val="00193700"/>
    <w:rsid w:val="003436F5"/>
    <w:rsid w:val="003E446E"/>
    <w:rsid w:val="003F1C4A"/>
    <w:rsid w:val="00472829"/>
    <w:rsid w:val="004B6CDC"/>
    <w:rsid w:val="004D124E"/>
    <w:rsid w:val="0050798D"/>
    <w:rsid w:val="00521B62"/>
    <w:rsid w:val="005715A9"/>
    <w:rsid w:val="006037EC"/>
    <w:rsid w:val="006C63AF"/>
    <w:rsid w:val="008F1A5C"/>
    <w:rsid w:val="00916BF2"/>
    <w:rsid w:val="009379EC"/>
    <w:rsid w:val="00946378"/>
    <w:rsid w:val="00991D1D"/>
    <w:rsid w:val="009E728F"/>
    <w:rsid w:val="00A97705"/>
    <w:rsid w:val="00EF5971"/>
    <w:rsid w:val="00F166A0"/>
    <w:rsid w:val="00F32B53"/>
    <w:rsid w:val="00F374B1"/>
    <w:rsid w:val="00FA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F41A"/>
  <w15:chartTrackingRefBased/>
  <w15:docId w15:val="{9B4B182C-7D7C-4FC1-8ABC-214DC317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28F"/>
    <w:pPr>
      <w:spacing w:after="0" w:line="240" w:lineRule="auto"/>
    </w:pPr>
    <w:rPr>
      <w:rFonts w:ascii="Lucida Bright" w:eastAsia="Times New Roman" w:hAnsi="Lucida Bright" w:cs="Times New Roman"/>
      <w:kern w:val="0"/>
      <w:sz w:val="24"/>
      <w:szCs w:val="20"/>
      <w14:ligatures w14:val="none"/>
    </w:rPr>
  </w:style>
  <w:style w:type="paragraph" w:styleId="Heading1">
    <w:name w:val="heading 1"/>
    <w:basedOn w:val="Normal"/>
    <w:next w:val="Normal"/>
    <w:link w:val="Heading1Char"/>
    <w:uiPriority w:val="9"/>
    <w:qFormat/>
    <w:rsid w:val="009E728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E728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E728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E728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E728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E728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E728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E728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E728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28F"/>
    <w:rPr>
      <w:rFonts w:eastAsiaTheme="majorEastAsia" w:cstheme="majorBidi"/>
      <w:color w:val="272727" w:themeColor="text1" w:themeTint="D8"/>
    </w:rPr>
  </w:style>
  <w:style w:type="paragraph" w:styleId="Title">
    <w:name w:val="Title"/>
    <w:basedOn w:val="Normal"/>
    <w:next w:val="Normal"/>
    <w:link w:val="TitleChar"/>
    <w:uiPriority w:val="10"/>
    <w:qFormat/>
    <w:rsid w:val="009E728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E7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28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E7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28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E728F"/>
    <w:rPr>
      <w:i/>
      <w:iCs/>
      <w:color w:val="404040" w:themeColor="text1" w:themeTint="BF"/>
    </w:rPr>
  </w:style>
  <w:style w:type="paragraph" w:styleId="ListParagraph">
    <w:name w:val="List Paragraph"/>
    <w:basedOn w:val="Normal"/>
    <w:uiPriority w:val="34"/>
    <w:qFormat/>
    <w:rsid w:val="009E728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E728F"/>
    <w:rPr>
      <w:i/>
      <w:iCs/>
      <w:color w:val="0F4761" w:themeColor="accent1" w:themeShade="BF"/>
    </w:rPr>
  </w:style>
  <w:style w:type="paragraph" w:styleId="IntenseQuote">
    <w:name w:val="Intense Quote"/>
    <w:basedOn w:val="Normal"/>
    <w:next w:val="Normal"/>
    <w:link w:val="IntenseQuoteChar"/>
    <w:uiPriority w:val="30"/>
    <w:qFormat/>
    <w:rsid w:val="009E728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E728F"/>
    <w:rPr>
      <w:i/>
      <w:iCs/>
      <w:color w:val="0F4761" w:themeColor="accent1" w:themeShade="BF"/>
    </w:rPr>
  </w:style>
  <w:style w:type="character" w:styleId="IntenseReference">
    <w:name w:val="Intense Reference"/>
    <w:basedOn w:val="DefaultParagraphFont"/>
    <w:uiPriority w:val="32"/>
    <w:qFormat/>
    <w:rsid w:val="009E728F"/>
    <w:rPr>
      <w:b/>
      <w:bCs/>
      <w:smallCaps/>
      <w:color w:val="0F4761" w:themeColor="accent1" w:themeShade="BF"/>
      <w:spacing w:val="5"/>
    </w:rPr>
  </w:style>
  <w:style w:type="paragraph" w:styleId="NormalWeb">
    <w:name w:val="Normal (Web)"/>
    <w:basedOn w:val="Normal"/>
    <w:uiPriority w:val="99"/>
    <w:unhideWhenUsed/>
    <w:rsid w:val="009E728F"/>
    <w:rPr>
      <w:rFonts w:ascii="Times New Roman" w:eastAsia="Calibri" w:hAnsi="Times New Roman"/>
      <w:szCs w:val="24"/>
    </w:rPr>
  </w:style>
  <w:style w:type="paragraph" w:styleId="NoSpacing">
    <w:name w:val="No Spacing"/>
    <w:uiPriority w:val="1"/>
    <w:qFormat/>
    <w:rsid w:val="009E728F"/>
    <w:pPr>
      <w:spacing w:after="0" w:line="240" w:lineRule="auto"/>
    </w:pPr>
    <w:rPr>
      <w:rFonts w:ascii="Calibri" w:eastAsia="Calibri" w:hAnsi="Calibri" w:cs="Times New Roman"/>
      <w:kern w:val="0"/>
      <w14:ligatures w14:val="none"/>
    </w:rPr>
  </w:style>
  <w:style w:type="table" w:styleId="TableGrid">
    <w:name w:val="Table Grid"/>
    <w:basedOn w:val="TableNormal"/>
    <w:uiPriority w:val="39"/>
    <w:rsid w:val="003F1C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Hellenga, Andrew</dc:creator>
  <cp:keywords/>
  <dc:description/>
  <cp:lastModifiedBy>Clerk</cp:lastModifiedBy>
  <cp:revision>2</cp:revision>
  <dcterms:created xsi:type="dcterms:W3CDTF">2025-11-12T17:33:00Z</dcterms:created>
  <dcterms:modified xsi:type="dcterms:W3CDTF">2025-11-12T17:33:00Z</dcterms:modified>
</cp:coreProperties>
</file>